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80" w:after="100" w:line="240" w:lineRule="auto"/>
      </w:pPr>
      <w:r>
        <w:rPr>
          <w:rFonts w:ascii="Calibri" w:hAnsi="Calibri"/>
          <w:b/>
          <w:color w:val="C6922D"/>
          <w:sz w:val="18"/>
        </w:rPr>
        <w:t>THE NEXT ERA OF AI WORKFORCE TRANSFORMATION</w:t>
      </w:r>
    </w:p>
    <w:p>
      <w:pPr>
        <w:pStyle w:val="Title"/>
        <w:jc w:val="left"/>
      </w:pPr>
      <w:r>
        <w:t>The Great Capability Rebuild</w:t>
      </w:r>
    </w:p>
    <w:p>
      <w:pPr>
        <w:pStyle w:val="Subtitle"/>
      </w:pPr>
      <w:r>
        <w:t>Five predictions for the AI workforce - and what leaders should do now</w:t>
      </w:r>
    </w:p>
    <w:p>
      <w:pPr>
        <w:keepNext w:val="0"/>
        <w:spacing w:before="0" w:after="200" w:line="240" w:lineRule="auto"/>
      </w:pPr>
      <w:r>
        <w:rPr>
          <w:rFonts w:ascii="Calibri" w:hAnsi="Calibri"/>
          <w:b/>
          <w:color w:val="5C6873"/>
          <w:sz w:val="18"/>
        </w:rPr>
        <w:t>Eddie D. Coronado, SHRM-SCP  |  Talent &amp; Workforce Transformation Leader  |  Nexa</w:t>
      </w:r>
    </w:p>
    <w:tbl>
      <w:tblPr>
        <w:tblW w:type="dxa" w:w="9360"/>
        <w:jc w:val="left"/>
        <w:tblLayout w:type="fixed"/>
        <w:tblLook w:firstColumn="1" w:firstRow="1" w:lastColumn="0" w:lastRow="0" w:noHBand="0" w:noVBand="1" w:val="04A0"/>
        <w:tblInd w:w="120" w:type="dxa"/>
      </w:tblPr>
      <w:tblGrid>
        <w:gridCol w:w="9360"/>
      </w:tblGrid>
      <w:tr>
        <w:tc>
          <w:tcPr>
            <w:tcW w:type="dxa" w:w="9360"/>
            <w:tcMar>
              <w:top w:w="150" w:type="dxa"/>
              <w:start w:w="190" w:type="dxa"/>
              <w:bottom w:w="150" w:type="dxa"/>
              <w:end w:w="190" w:type="dxa"/>
            </w:tcMar>
            <w:shd w:fill="EAF2F8"/>
          </w:tcPr>
          <w:p>
            <w:pPr>
              <w:keepNext w:val="0"/>
              <w:spacing w:before="0" w:after="0" w:line="259" w:lineRule="auto"/>
              <w:jc w:val="left"/>
            </w:pPr>
            <w:r>
              <w:rPr>
                <w:rFonts w:ascii="Calibri" w:hAnsi="Calibri"/>
                <w:b/>
                <w:color w:val="12304A"/>
                <w:sz w:val="22"/>
              </w:rPr>
              <w:t>AI has crossed a line. It is no longer only changing how work gets done. It is changing how many people, layers, and skills companies believe they need.</w:t>
            </w:r>
          </w:p>
        </w:tc>
      </w:tr>
    </w:tbl>
    <w:p>
      <w:pPr>
        <w:keepNext w:val="0"/>
        <w:spacing w:before="0" w:after="80" w:line="240" w:lineRule="auto"/>
      </w:pPr>
    </w:p>
    <w:tbl>
      <w:tblPr>
        <w:tblW w:type="dxa" w:w="9360"/>
        <w:jc w:val="left"/>
        <w:tblLayout w:type="fixed"/>
        <w:tblLook w:firstColumn="1" w:firstRow="1" w:lastColumn="0" w:lastRow="0" w:noHBand="0" w:noVBand="1" w:val="04A0"/>
        <w:tblInd w:w="120" w:type="dxa"/>
      </w:tblPr>
      <w:tblGrid>
        <w:gridCol w:w="3120"/>
        <w:gridCol w:w="3120"/>
        <w:gridCol w:w="3120"/>
      </w:tblGrid>
      <w:tr>
        <w:tc>
          <w:tcPr>
            <w:tcW w:type="dxa" w:w="3120"/>
            <w:tcMar>
              <w:top w:w="130" w:type="dxa"/>
              <w:start w:w="140" w:type="dxa"/>
              <w:bottom w:w="130" w:type="dxa"/>
              <w:end w:w="140" w:type="dxa"/>
            </w:tcMar>
            <w:shd w:fill="EAF2F8"/>
            <w:vAlign w:val="center"/>
          </w:tcPr>
          <w:p>
            <w:pPr>
              <w:keepNext w:val="0"/>
              <w:spacing w:before="0" w:after="20" w:line="240" w:lineRule="auto"/>
              <w:jc w:val="center"/>
            </w:pPr>
            <w:r>
              <w:rPr>
                <w:rFonts w:ascii="Calibri" w:hAnsi="Calibri"/>
                <w:b/>
                <w:color w:val="12304A"/>
                <w:sz w:val="36"/>
              </w:rPr>
              <w:t>35</w:t>
            </w:r>
          </w:p>
          <w:p>
            <w:pPr>
              <w:keepNext w:val="0"/>
              <w:spacing w:before="0" w:after="0" w:line="252" w:lineRule="auto"/>
              <w:jc w:val="center"/>
            </w:pPr>
            <w:r>
              <w:rPr>
                <w:rFonts w:ascii="Calibri" w:hAnsi="Calibri"/>
                <w:color w:val="5C6873"/>
                <w:sz w:val="16"/>
              </w:rPr>
              <w:t>verified AI-linked workforce events</w:t>
            </w:r>
          </w:p>
        </w:tc>
        <w:tc>
          <w:tcPr>
            <w:tcW w:type="dxa" w:w="3120"/>
            <w:tcMar>
              <w:top w:w="130" w:type="dxa"/>
              <w:start w:w="140" w:type="dxa"/>
              <w:bottom w:w="130" w:type="dxa"/>
              <w:end w:w="140" w:type="dxa"/>
            </w:tcMar>
            <w:shd w:fill="F8F2E5"/>
            <w:vAlign w:val="center"/>
          </w:tcPr>
          <w:p>
            <w:pPr>
              <w:keepNext w:val="0"/>
              <w:spacing w:before="0" w:after="20" w:line="240" w:lineRule="auto"/>
              <w:jc w:val="center"/>
            </w:pPr>
            <w:r>
              <w:rPr>
                <w:rFonts w:ascii="Calibri" w:hAnsi="Calibri"/>
                <w:b/>
                <w:color w:val="12304A"/>
                <w:sz w:val="36"/>
              </w:rPr>
              <w:t>131,636</w:t>
            </w:r>
          </w:p>
          <w:p>
            <w:pPr>
              <w:keepNext w:val="0"/>
              <w:spacing w:before="0" w:after="0" w:line="252" w:lineRule="auto"/>
              <w:jc w:val="center"/>
            </w:pPr>
            <w:r>
              <w:rPr>
                <w:rFonts w:ascii="Calibri" w:hAnsi="Calibri"/>
                <w:color w:val="5C6873"/>
                <w:sz w:val="16"/>
              </w:rPr>
              <w:t>minimum disclosed positions affected</w:t>
            </w:r>
          </w:p>
        </w:tc>
        <w:tc>
          <w:tcPr>
            <w:tcW w:type="dxa" w:w="3120"/>
            <w:tcMar>
              <w:top w:w="130" w:type="dxa"/>
              <w:start w:w="140" w:type="dxa"/>
              <w:bottom w:w="130" w:type="dxa"/>
              <w:end w:w="140" w:type="dxa"/>
            </w:tcMar>
            <w:shd w:fill="EAF2F8"/>
            <w:vAlign w:val="center"/>
          </w:tcPr>
          <w:p>
            <w:pPr>
              <w:keepNext w:val="0"/>
              <w:spacing w:before="0" w:after="20" w:line="240" w:lineRule="auto"/>
              <w:jc w:val="center"/>
            </w:pPr>
            <w:r>
              <w:rPr>
                <w:rFonts w:ascii="Calibri" w:hAnsi="Calibri"/>
                <w:b/>
                <w:color w:val="12304A"/>
                <w:sz w:val="36"/>
              </w:rPr>
              <w:t>61%</w:t>
            </w:r>
          </w:p>
          <w:p>
            <w:pPr>
              <w:keepNext w:val="0"/>
              <w:spacing w:before="0" w:after="0" w:line="252" w:lineRule="auto"/>
              <w:jc w:val="center"/>
            </w:pPr>
            <w:r>
              <w:rPr>
                <w:rFonts w:ascii="Calibri" w:hAnsi="Calibri"/>
                <w:color w:val="5C6873"/>
                <w:sz w:val="16"/>
              </w:rPr>
              <w:t>classified AI as a major factor since 2025</w:t>
            </w:r>
          </w:p>
        </w:tc>
      </w:tr>
    </w:tbl>
    <w:p>
      <w:pPr>
        <w:keepNext w:val="0"/>
        <w:spacing w:before="80" w:after="100" w:line="240" w:lineRule="auto"/>
      </w:pPr>
      <w:r>
        <w:rPr>
          <w:rFonts w:ascii="Calibri" w:hAnsi="Calibri"/>
          <w:i/>
          <w:color w:val="5C6873"/>
          <w:sz w:val="15"/>
        </w:rPr>
        <w:t>Evidence base: 35 global workforce events announced from January 2023 through July 29, 2026 where a company statement, filing, or named executive explicitly connected the reduction to AI.</w:t>
      </w:r>
    </w:p>
    <w:p>
      <w:pPr>
        <w:keepNext/>
        <w:spacing w:before="60" w:after="40" w:line="240" w:lineRule="auto"/>
      </w:pPr>
      <w:r>
        <w:rPr>
          <w:rFonts w:ascii="Calibri" w:hAnsi="Calibri"/>
          <w:b/>
          <w:color w:val="C6922D"/>
          <w:sz w:val="17"/>
        </w:rPr>
        <w:t>PREDICTION 01</w:t>
      </w:r>
    </w:p>
    <w:p>
      <w:pPr>
        <w:keepNext/>
        <w:spacing w:before="0" w:after="60" w:line="240" w:lineRule="auto"/>
      </w:pPr>
      <w:r>
        <w:rPr>
          <w:rFonts w:ascii="Calibri" w:hAnsi="Calibri"/>
          <w:b/>
          <w:color w:val="12304A"/>
          <w:sz w:val="25"/>
        </w:rPr>
        <w:t>AI will move from an investment story to an operating-model decision.</w:t>
      </w:r>
    </w:p>
    <w:p>
      <w:pPr>
        <w:keepNext w:val="0"/>
        <w:spacing w:before="0" w:after="80" w:line="264" w:lineRule="auto"/>
      </w:pPr>
      <w:r>
        <w:rPr>
          <w:rFonts w:ascii="Calibri" w:hAnsi="Calibri"/>
          <w:color w:val="1E2933"/>
          <w:sz w:val="19"/>
        </w:rPr>
        <w:t>In 2023-2024, AI was classified as a major factor in 29% of the events tracked. Since 2025, that share has increased to 61%. The language is shifting from "we are cutting so we can invest in AI" to "AI allows us to operate with fewer people."</w:t>
      </w:r>
    </w:p>
    <w:p>
      <w:pPr>
        <w:keepNext/>
        <w:spacing w:before="60" w:after="40" w:line="240" w:lineRule="auto"/>
      </w:pPr>
      <w:r>
        <w:rPr>
          <w:rFonts w:ascii="Calibri" w:hAnsi="Calibri"/>
          <w:b/>
          <w:color w:val="C6922D"/>
          <w:sz w:val="17"/>
        </w:rPr>
        <w:t>PREDICTION 02</w:t>
      </w:r>
    </w:p>
    <w:p>
      <w:pPr>
        <w:keepNext/>
        <w:spacing w:before="0" w:after="60" w:line="240" w:lineRule="auto"/>
      </w:pPr>
      <w:r>
        <w:rPr>
          <w:rFonts w:ascii="Calibri" w:hAnsi="Calibri"/>
          <w:b/>
          <w:color w:val="12304A"/>
          <w:sz w:val="25"/>
        </w:rPr>
        <w:t>The workforce will get flatter before every job category gets smaller.</w:t>
      </w:r>
    </w:p>
    <w:p>
      <w:pPr>
        <w:keepNext w:val="0"/>
        <w:spacing w:before="0" w:after="80" w:line="264" w:lineRule="auto"/>
      </w:pPr>
      <w:r>
        <w:rPr>
          <w:rFonts w:ascii="Calibri" w:hAnsi="Calibri"/>
          <w:color w:val="1E2933"/>
          <w:sz w:val="19"/>
        </w:rPr>
        <w:t>Management layers, executives, or flatter structures were explicitly named in at least seven events, with similar language appearing across many more. Reporting, coordination, approvals, and routine oversight are becoming easier to compress. Seniority alone is not a moat.</w:t>
      </w:r>
    </w:p>
    <w:p>
      <w:pPr>
        <w:keepNext/>
        <w:spacing w:before="60" w:after="40" w:line="240" w:lineRule="auto"/>
      </w:pPr>
      <w:r>
        <w:rPr>
          <w:rFonts w:ascii="Calibri" w:hAnsi="Calibri"/>
          <w:b/>
          <w:color w:val="C6922D"/>
          <w:sz w:val="17"/>
        </w:rPr>
        <w:t>PREDICTION 03</w:t>
      </w:r>
    </w:p>
    <w:p>
      <w:pPr>
        <w:keepNext/>
        <w:spacing w:before="0" w:after="60" w:line="240" w:lineRule="auto"/>
      </w:pPr>
      <w:r>
        <w:rPr>
          <w:rFonts w:ascii="Calibri" w:hAnsi="Calibri"/>
          <w:b/>
          <w:color w:val="12304A"/>
          <w:sz w:val="25"/>
        </w:rPr>
        <w:t>Digitized routine work will remain the first pressure point.</w:t>
      </w:r>
    </w:p>
    <w:p>
      <w:pPr>
        <w:keepNext w:val="0"/>
        <w:spacing w:before="0" w:after="80" w:line="264" w:lineRule="auto"/>
      </w:pPr>
      <w:r>
        <w:rPr>
          <w:rFonts w:ascii="Calibri" w:hAnsi="Calibri"/>
          <w:color w:val="1E2933"/>
          <w:sz w:val="19"/>
        </w:rPr>
        <w:t>Support, back-office, corporate, or operational functions appeared in at least 13 events; sales, marketing, growth, or go-to-market work appeared in at least 10. Work that is high-volume, rules-based, measurable, and performed entirely through information systems is easiest to redesign around AI.</w:t>
      </w:r>
    </w:p>
    <w:p>
      <w:pPr>
        <w:keepNext/>
        <w:spacing w:before="60" w:after="40" w:line="240" w:lineRule="auto"/>
      </w:pPr>
      <w:r>
        <w:rPr>
          <w:rFonts w:ascii="Calibri" w:hAnsi="Calibri"/>
          <w:b/>
          <w:color w:val="C6922D"/>
          <w:sz w:val="17"/>
        </w:rPr>
        <w:t>PREDICTION 04</w:t>
      </w:r>
    </w:p>
    <w:p>
      <w:pPr>
        <w:keepNext/>
        <w:spacing w:before="0" w:after="60" w:line="240" w:lineRule="auto"/>
      </w:pPr>
      <w:r>
        <w:rPr>
          <w:rFonts w:ascii="Calibri" w:hAnsi="Calibri"/>
          <w:b/>
          <w:color w:val="12304A"/>
          <w:sz w:val="25"/>
        </w:rPr>
        <w:t>Technical work will bifurcate rather than remain protected.</w:t>
      </w:r>
    </w:p>
    <w:p>
      <w:pPr>
        <w:keepNext w:val="0"/>
        <w:spacing w:before="0" w:after="80" w:line="264" w:lineRule="auto"/>
      </w:pPr>
      <w:r>
        <w:rPr>
          <w:rFonts w:ascii="Calibri" w:hAnsi="Calibri"/>
          <w:color w:val="1E2933"/>
          <w:sz w:val="19"/>
        </w:rPr>
        <w:t>Engineering, R&amp;D, product, data, or technology work appeared in at least 13 events. Routine coding and analysis are being compressed while AI architecture, integration, security, judgment, and domain expertise receive more investment. The premium moves from producing more output to directing better outcomes.</w:t>
      </w:r>
    </w:p>
    <w:p>
      <w:pPr>
        <w:keepNext/>
        <w:spacing w:before="60" w:after="40" w:line="240" w:lineRule="auto"/>
      </w:pPr>
      <w:r>
        <w:rPr>
          <w:rFonts w:ascii="Calibri" w:hAnsi="Calibri"/>
          <w:b/>
          <w:color w:val="C6922D"/>
          <w:sz w:val="17"/>
        </w:rPr>
        <w:t>PREDICTION 05</w:t>
      </w:r>
    </w:p>
    <w:p>
      <w:pPr>
        <w:keepNext/>
        <w:spacing w:before="0" w:after="60" w:line="240" w:lineRule="auto"/>
      </w:pPr>
      <w:r>
        <w:rPr>
          <w:rFonts w:ascii="Calibri" w:hAnsi="Calibri"/>
          <w:b/>
          <w:color w:val="12304A"/>
          <w:sz w:val="25"/>
        </w:rPr>
        <w:t>Layoff announcements will understate the real employment effect.</w:t>
      </w:r>
    </w:p>
    <w:p>
      <w:pPr>
        <w:keepNext w:val="0"/>
        <w:spacing w:before="0" w:after="0" w:line="264" w:lineRule="auto"/>
      </w:pPr>
      <w:r>
        <w:rPr>
          <w:rFonts w:ascii="Calibri" w:hAnsi="Calibri"/>
          <w:color w:val="1E2933"/>
          <w:sz w:val="19"/>
        </w:rPr>
        <w:t>The quieter changes will be contractor reductions, fewer entry-level openings, slower backfilling, wider manager spans, redeployment, and higher output expectations. Companies may reduce their hiring curve long before they announce that a role has disappeared.</w:t>
      </w:r>
    </w:p>
    <w:p>
      <w:r>
        <w:br w:type="page"/>
      </w:r>
    </w:p>
    <w:p>
      <w:pPr>
        <w:pStyle w:val="Heading1"/>
        <w:spacing w:before="120"/>
      </w:pPr>
      <w:r>
        <w:t>Proposed solutions: rebuild capability before cutting capacity</w:t>
      </w:r>
    </w:p>
    <w:p>
      <w:pPr>
        <w:keepNext w:val="0"/>
        <w:spacing w:before="0" w:after="140" w:line="264" w:lineRule="auto"/>
      </w:pPr>
      <w:r>
        <w:rPr>
          <w:rFonts w:ascii="Calibri" w:hAnsi="Calibri"/>
          <w:color w:val="1E2933"/>
          <w:sz w:val="21"/>
        </w:rPr>
        <w:t>Generic AI training will not solve a role-design problem. Organizations need a connected system that redesigns work, develops people, equips managers, and creates movement into the roles the business will actually need.</w:t>
      </w:r>
    </w:p>
    <w:p>
      <w:pPr>
        <w:keepNext/>
        <w:spacing w:before="40" w:after="40" w:line="240" w:lineRule="auto"/>
      </w:pPr>
      <w:r>
        <w:rPr>
          <w:rFonts w:ascii="Calibri" w:hAnsi="Calibri"/>
          <w:b/>
          <w:color w:val="C6922D"/>
          <w:sz w:val="17"/>
        </w:rPr>
        <w:t>SOLUTION 01</w:t>
      </w:r>
    </w:p>
    <w:p>
      <w:pPr>
        <w:keepNext/>
        <w:spacing w:before="0" w:after="60" w:line="240" w:lineRule="auto"/>
      </w:pPr>
      <w:r>
        <w:rPr>
          <w:rFonts w:ascii="Calibri" w:hAnsi="Calibri"/>
          <w:b/>
          <w:color w:val="12304A"/>
          <w:sz w:val="25"/>
        </w:rPr>
        <w:t>Map tasks, not merely job titles.</w:t>
      </w:r>
    </w:p>
    <w:p>
      <w:pPr>
        <w:keepNext w:val="0"/>
        <w:spacing w:before="0" w:after="100" w:line="264" w:lineRule="auto"/>
      </w:pPr>
      <w:r>
        <w:rPr>
          <w:rFonts w:ascii="Calibri" w:hAnsi="Calibri"/>
          <w:color w:val="1E2933"/>
          <w:sz w:val="20"/>
        </w:rPr>
        <w:t>Break roles into task bundles and classify the work as automatable, augmentable, or distinctly human. Assess volume, repeatability, risk, judgment, relationships, and business criticality. This produces a more honest view of exposure than a list of supposedly "safe" and "unsafe" occupations.</w:t>
      </w:r>
    </w:p>
    <w:p>
      <w:pPr>
        <w:keepNext/>
        <w:spacing w:before="60" w:after="40" w:line="240" w:lineRule="auto"/>
      </w:pPr>
      <w:r>
        <w:rPr>
          <w:rFonts w:ascii="Calibri" w:hAnsi="Calibri"/>
          <w:b/>
          <w:color w:val="C6922D"/>
          <w:sz w:val="17"/>
        </w:rPr>
        <w:t>SOLUTION 02</w:t>
      </w:r>
    </w:p>
    <w:p>
      <w:pPr>
        <w:keepNext/>
        <w:spacing w:before="0" w:after="60" w:line="240" w:lineRule="auto"/>
      </w:pPr>
      <w:r>
        <w:rPr>
          <w:rFonts w:ascii="Calibri" w:hAnsi="Calibri"/>
          <w:b/>
          <w:color w:val="12304A"/>
          <w:sz w:val="25"/>
        </w:rPr>
        <w:t>Redesign the role and the organization together.</w:t>
      </w:r>
    </w:p>
    <w:p>
      <w:pPr>
        <w:keepNext w:val="0"/>
        <w:spacing w:before="0" w:after="100" w:line="264" w:lineRule="auto"/>
      </w:pPr>
      <w:r>
        <w:rPr>
          <w:rFonts w:ascii="Calibri" w:hAnsi="Calibri"/>
          <w:color w:val="1E2933"/>
          <w:sz w:val="20"/>
        </w:rPr>
        <w:t>Define where AI acts, where a human reviews, who owns the outcome, and how exceptions move. Then revisit team size, manager spans, decision rights, career paths, and the early-career pipeline. Automating tasks without redesigning the surrounding system usually relocates friction instead of removing it.</w:t>
      </w:r>
    </w:p>
    <w:p>
      <w:pPr>
        <w:keepNext/>
        <w:spacing w:before="60" w:after="40" w:line="240" w:lineRule="auto"/>
      </w:pPr>
      <w:r>
        <w:rPr>
          <w:rFonts w:ascii="Calibri" w:hAnsi="Calibri"/>
          <w:b/>
          <w:color w:val="C6922D"/>
          <w:sz w:val="17"/>
        </w:rPr>
        <w:t>SOLUTION 03</w:t>
      </w:r>
    </w:p>
    <w:p>
      <w:pPr>
        <w:keepNext/>
        <w:spacing w:before="0" w:after="60" w:line="240" w:lineRule="auto"/>
      </w:pPr>
      <w:r>
        <w:rPr>
          <w:rFonts w:ascii="Calibri" w:hAnsi="Calibri"/>
          <w:b/>
          <w:color w:val="12304A"/>
          <w:sz w:val="25"/>
        </w:rPr>
        <w:t>Connect learning to real work and real movement.</w:t>
      </w:r>
    </w:p>
    <w:p>
      <w:pPr>
        <w:keepNext w:val="0"/>
        <w:spacing w:before="0" w:after="100" w:line="264" w:lineRule="auto"/>
      </w:pPr>
      <w:r>
        <w:rPr>
          <w:rFonts w:ascii="Calibri" w:hAnsi="Calibri"/>
          <w:color w:val="1E2933"/>
          <w:sz w:val="20"/>
        </w:rPr>
        <w:t>A certificate is not a career pathway. Reskilling should connect learning, supervised practice, real projects, manager support, evidence of capability, internal mobility, and an actual role at the other end. The outcome is not course completion; it is demonstrated readiness.</w:t>
      </w:r>
    </w:p>
    <w:p>
      <w:pPr>
        <w:keepNext/>
        <w:spacing w:before="60" w:after="40" w:line="240" w:lineRule="auto"/>
      </w:pPr>
      <w:r>
        <w:rPr>
          <w:rFonts w:ascii="Calibri" w:hAnsi="Calibri"/>
          <w:b/>
          <w:color w:val="C6922D"/>
          <w:sz w:val="17"/>
        </w:rPr>
        <w:t>SOLUTION 04</w:t>
      </w:r>
    </w:p>
    <w:p>
      <w:pPr>
        <w:keepNext/>
        <w:spacing w:before="0" w:after="60" w:line="240" w:lineRule="auto"/>
      </w:pPr>
      <w:r>
        <w:rPr>
          <w:rFonts w:ascii="Calibri" w:hAnsi="Calibri"/>
          <w:b/>
          <w:color w:val="12304A"/>
          <w:sz w:val="25"/>
        </w:rPr>
        <w:t>Design for the manager leading a human-plus-AI team.</w:t>
      </w:r>
    </w:p>
    <w:p>
      <w:pPr>
        <w:keepNext w:val="0"/>
        <w:spacing w:before="0" w:after="100" w:line="264" w:lineRule="auto"/>
      </w:pPr>
      <w:r>
        <w:rPr>
          <w:rFonts w:ascii="Calibri" w:hAnsi="Calibri"/>
          <w:color w:val="1E2933"/>
          <w:sz w:val="20"/>
        </w:rPr>
        <w:t>Managers will decide how work is assigned, reviewed, measured, and improved. Give them simple decision tools, clear guardrails, workflow visibility, and time to coach. If the new model only works when HR or technology teams are in the room explaining it, the design is not finished.</w:t>
      </w:r>
    </w:p>
    <w:p>
      <w:pPr>
        <w:keepNext/>
        <w:spacing w:before="60" w:after="40" w:line="240" w:lineRule="auto"/>
      </w:pPr>
      <w:r>
        <w:rPr>
          <w:rFonts w:ascii="Calibri" w:hAnsi="Calibri"/>
          <w:b/>
          <w:color w:val="C6922D"/>
          <w:sz w:val="17"/>
        </w:rPr>
        <w:t>SOLUTION 05</w:t>
      </w:r>
    </w:p>
    <w:p>
      <w:pPr>
        <w:keepNext/>
        <w:spacing w:before="0" w:after="60" w:line="240" w:lineRule="auto"/>
      </w:pPr>
      <w:r>
        <w:rPr>
          <w:rFonts w:ascii="Calibri" w:hAnsi="Calibri"/>
          <w:b/>
          <w:color w:val="12304A"/>
          <w:sz w:val="25"/>
        </w:rPr>
        <w:t>Measure capability and value - not adoption theater.</w:t>
      </w:r>
    </w:p>
    <w:p>
      <w:pPr>
        <w:keepNext w:val="0"/>
        <w:spacing w:before="0" w:after="140" w:line="264" w:lineRule="auto"/>
      </w:pPr>
      <w:r>
        <w:rPr>
          <w:rFonts w:ascii="Calibri" w:hAnsi="Calibri"/>
          <w:color w:val="1E2933"/>
          <w:sz w:val="20"/>
        </w:rPr>
        <w:t>Track cycle time, quality, customer outcomes, error rates, decision speed, redeployment, internal fill, and employee trust. A smaller workforce does not prove AI created value. The test is whether the organization can now do something meaningfully better than it could before.</w:t>
      </w:r>
    </w:p>
    <w:tbl>
      <w:tblPr>
        <w:tblW w:type="dxa" w:w="9360"/>
        <w:jc w:val="left"/>
        <w:tblLayout w:type="fixed"/>
        <w:tblLook w:firstColumn="1" w:firstRow="1" w:lastColumn="0" w:lastRow="0" w:noHBand="0" w:noVBand="1" w:val="04A0"/>
        <w:tblInd w:w="120" w:type="dxa"/>
      </w:tblPr>
      <w:tblGrid>
        <w:gridCol w:w="1872"/>
        <w:gridCol w:w="1872"/>
        <w:gridCol w:w="1872"/>
        <w:gridCol w:w="1872"/>
        <w:gridCol w:w="1872"/>
      </w:tblGrid>
      <w:tr>
        <w:tc>
          <w:tcPr>
            <w:tcW w:type="dxa" w:w="1872"/>
            <w:tcMar>
              <w:top w:w="100" w:type="dxa"/>
              <w:start w:w="85" w:type="dxa"/>
              <w:bottom w:w="100" w:type="dxa"/>
              <w:end w:w="85" w:type="dxa"/>
            </w:tcMar>
            <w:shd w:fill="EAF2F8"/>
            <w:vAlign w:val="center"/>
          </w:tcPr>
          <w:p>
            <w:pPr>
              <w:keepNext w:val="0"/>
              <w:spacing w:before="0" w:after="40" w:line="240" w:lineRule="auto"/>
              <w:jc w:val="center"/>
            </w:pPr>
            <w:r>
              <w:rPr>
                <w:rFonts w:ascii="Calibri" w:hAnsi="Calibri"/>
                <w:b/>
                <w:color w:val="2E74B5"/>
                <w:sz w:val="16"/>
              </w:rPr>
              <w:t>LISTEN</w:t>
            </w:r>
          </w:p>
          <w:p>
            <w:pPr>
              <w:keepNext w:val="0"/>
              <w:spacing w:before="0" w:after="0" w:line="240" w:lineRule="auto"/>
              <w:jc w:val="center"/>
            </w:pPr>
            <w:r>
              <w:rPr>
                <w:rFonts w:ascii="Calibri" w:hAnsi="Calibri"/>
                <w:color w:val="5C6873"/>
                <w:sz w:val="15"/>
              </w:rPr>
              <w:t>Understand work</w:t>
            </w:r>
          </w:p>
        </w:tc>
        <w:tc>
          <w:tcPr>
            <w:tcW w:type="dxa" w:w="1872"/>
            <w:tcMar>
              <w:top w:w="100" w:type="dxa"/>
              <w:start w:w="85" w:type="dxa"/>
              <w:bottom w:w="100" w:type="dxa"/>
              <w:end w:w="85" w:type="dxa"/>
            </w:tcMar>
            <w:shd w:fill="F2F4F7"/>
            <w:vAlign w:val="center"/>
          </w:tcPr>
          <w:p>
            <w:pPr>
              <w:keepNext w:val="0"/>
              <w:spacing w:before="0" w:after="40" w:line="240" w:lineRule="auto"/>
              <w:jc w:val="center"/>
            </w:pPr>
            <w:r>
              <w:rPr>
                <w:rFonts w:ascii="Calibri" w:hAnsi="Calibri"/>
                <w:b/>
                <w:color w:val="2E74B5"/>
                <w:sz w:val="16"/>
              </w:rPr>
              <w:t>CLARIFY</w:t>
            </w:r>
          </w:p>
          <w:p>
            <w:pPr>
              <w:keepNext w:val="0"/>
              <w:spacing w:before="0" w:after="0" w:line="240" w:lineRule="auto"/>
              <w:jc w:val="center"/>
            </w:pPr>
            <w:r>
              <w:rPr>
                <w:rFonts w:ascii="Calibri" w:hAnsi="Calibri"/>
                <w:color w:val="5C6873"/>
                <w:sz w:val="15"/>
              </w:rPr>
              <w:t>Name the capability</w:t>
            </w:r>
          </w:p>
        </w:tc>
        <w:tc>
          <w:tcPr>
            <w:tcW w:type="dxa" w:w="1872"/>
            <w:tcMar>
              <w:top w:w="100" w:type="dxa"/>
              <w:start w:w="85" w:type="dxa"/>
              <w:bottom w:w="100" w:type="dxa"/>
              <w:end w:w="85" w:type="dxa"/>
            </w:tcMar>
            <w:shd w:fill="EAF2F8"/>
            <w:vAlign w:val="center"/>
          </w:tcPr>
          <w:p>
            <w:pPr>
              <w:keepNext w:val="0"/>
              <w:spacing w:before="0" w:after="40" w:line="240" w:lineRule="auto"/>
              <w:jc w:val="center"/>
            </w:pPr>
            <w:r>
              <w:rPr>
                <w:rFonts w:ascii="Calibri" w:hAnsi="Calibri"/>
                <w:b/>
                <w:color w:val="2E74B5"/>
                <w:sz w:val="16"/>
              </w:rPr>
              <w:t>CONNECT</w:t>
            </w:r>
          </w:p>
          <w:p>
            <w:pPr>
              <w:keepNext w:val="0"/>
              <w:spacing w:before="0" w:after="0" w:line="240" w:lineRule="auto"/>
              <w:jc w:val="center"/>
            </w:pPr>
            <w:r>
              <w:rPr>
                <w:rFonts w:ascii="Calibri" w:hAnsi="Calibri"/>
                <w:color w:val="5C6873"/>
                <w:sz w:val="15"/>
              </w:rPr>
              <w:t>Align the system</w:t>
            </w:r>
          </w:p>
        </w:tc>
        <w:tc>
          <w:tcPr>
            <w:tcW w:type="dxa" w:w="1872"/>
            <w:tcMar>
              <w:top w:w="100" w:type="dxa"/>
              <w:start w:w="85" w:type="dxa"/>
              <w:bottom w:w="100" w:type="dxa"/>
              <w:end w:w="85" w:type="dxa"/>
            </w:tcMar>
            <w:shd w:fill="F2F4F7"/>
            <w:vAlign w:val="center"/>
          </w:tcPr>
          <w:p>
            <w:pPr>
              <w:keepNext w:val="0"/>
              <w:spacing w:before="0" w:after="40" w:line="240" w:lineRule="auto"/>
              <w:jc w:val="center"/>
            </w:pPr>
            <w:r>
              <w:rPr>
                <w:rFonts w:ascii="Calibri" w:hAnsi="Calibri"/>
                <w:b/>
                <w:color w:val="2E74B5"/>
                <w:sz w:val="16"/>
              </w:rPr>
              <w:t>BUILD</w:t>
            </w:r>
          </w:p>
          <w:p>
            <w:pPr>
              <w:keepNext w:val="0"/>
              <w:spacing w:before="0" w:after="0" w:line="240" w:lineRule="auto"/>
              <w:jc w:val="center"/>
            </w:pPr>
            <w:r>
              <w:rPr>
                <w:rFonts w:ascii="Calibri" w:hAnsi="Calibri"/>
                <w:color w:val="5C6873"/>
                <w:sz w:val="15"/>
              </w:rPr>
              <w:t>Test in context</w:t>
            </w:r>
          </w:p>
        </w:tc>
        <w:tc>
          <w:tcPr>
            <w:tcW w:type="dxa" w:w="1872"/>
            <w:tcMar>
              <w:top w:w="100" w:type="dxa"/>
              <w:start w:w="85" w:type="dxa"/>
              <w:bottom w:w="100" w:type="dxa"/>
              <w:end w:w="85" w:type="dxa"/>
            </w:tcMar>
            <w:shd w:fill="EAF2F8"/>
            <w:vAlign w:val="center"/>
          </w:tcPr>
          <w:p>
            <w:pPr>
              <w:keepNext w:val="0"/>
              <w:spacing w:before="0" w:after="40" w:line="240" w:lineRule="auto"/>
              <w:jc w:val="center"/>
            </w:pPr>
            <w:r>
              <w:rPr>
                <w:rFonts w:ascii="Calibri" w:hAnsi="Calibri"/>
                <w:b/>
                <w:color w:val="2E74B5"/>
                <w:sz w:val="16"/>
              </w:rPr>
              <w:t>LEARN</w:t>
            </w:r>
          </w:p>
          <w:p>
            <w:pPr>
              <w:keepNext w:val="0"/>
              <w:spacing w:before="0" w:after="0" w:line="240" w:lineRule="auto"/>
              <w:jc w:val="center"/>
            </w:pPr>
            <w:r>
              <w:rPr>
                <w:rFonts w:ascii="Calibri" w:hAnsi="Calibri"/>
                <w:color w:val="5C6873"/>
                <w:sz w:val="15"/>
              </w:rPr>
              <w:t>Measure and improve</w:t>
            </w:r>
          </w:p>
        </w:tc>
      </w:tr>
    </w:tbl>
    <w:p>
      <w:pPr>
        <w:keepNext w:val="0"/>
        <w:spacing w:before="160" w:after="100" w:line="259" w:lineRule="auto"/>
      </w:pPr>
      <w:r>
        <w:rPr>
          <w:rFonts w:ascii="Calibri" w:hAnsi="Calibri"/>
          <w:b/>
          <w:color w:val="12304A"/>
          <w:sz w:val="22"/>
        </w:rPr>
        <w:t>The organizations that lead The Great Capability Rebuild will not be the ones that cut fastest. They will be the ones that rebuild capability faster than the work changes.</w:t>
      </w:r>
    </w:p>
    <w:p>
      <w:pPr>
        <w:keepNext w:val="0"/>
        <w:spacing w:before="100" w:after="60" w:line="252" w:lineRule="auto"/>
      </w:pPr>
      <w:r>
        <w:rPr>
          <w:rFonts w:ascii="Calibri" w:hAnsi="Calibri"/>
          <w:b/>
          <w:color w:val="C6922D"/>
          <w:sz w:val="16"/>
        </w:rPr>
        <w:t xml:space="preserve">ABOUT THE AUTHOR  </w:t>
      </w:r>
      <w:r>
        <w:rPr>
          <w:rFonts w:ascii="Calibri" w:hAnsi="Calibri"/>
          <w:color w:val="5C6873"/>
          <w:sz w:val="16"/>
        </w:rPr>
        <w:t>Eddie D. Coronado, SHRM-SCP, is a talent and workforce transformation leader whose experience spans recruiting, global mobility, internal mobility, enterprise talent management, performance strategy, and organizational effectiveness. Through Nexa, he studies how AI is reshaping work and helps people and organizations build the capability to move forward.</w:t>
      </w:r>
    </w:p>
    <w:p>
      <w:pPr>
        <w:keepNext w:val="0"/>
        <w:spacing w:before="60" w:after="0" w:line="240" w:lineRule="auto"/>
      </w:pPr>
      <w:r>
        <w:rPr>
          <w:rFonts w:ascii="Calibri" w:hAnsi="Calibri"/>
          <w:i/>
          <w:color w:val="5C6873"/>
          <w:sz w:val="15"/>
        </w:rPr>
        <w:t>Methodology note: The companion AI-Cited Layoff Tracker contains the company-level records, source URLs, causal-strength classifications, and caveats. The 131,636 minimum includes completed, announced, planned, estimated, and cumulative reductions; it should not be interpreted as a count of completed direct AI replacements.</w:t>
      </w:r>
    </w:p>
    <w:sectPr w:rsidR="00FC693F" w:rsidRPr="0006063C" w:rsidSect="00034616">
      <w:headerReference w:type="default" r:id="rId9"/>
      <w:footerReference w:type="default" r:id="rId10"/>
      <w:pgSz w:w="12240" w:h="15840"/>
      <w:pgMar w:top="1037" w:right="1440" w:bottom="1037"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b/>
        <w:color w:val="5C6873"/>
        <w:sz w:val="17"/>
      </w:rPr>
      <w:t xml:space="preserve">THE GREAT CAPABILITY REBUILD  |  </w:t>
    </w:r>
    <w:r>
      <w:rPr>
        <w:rFonts w:ascii="Calibri" w:hAnsi="Calibri"/>
        <w:color w:val="5C6873"/>
        <w:sz w:val="17"/>
      </w:rPr>
      <w:fldChar w:fldCharType="begin"/>
      <w:instrText xml:space="preserve">PAGE</w:instrText>
      <w:fldChar w:fldCharType="separate"/>
      <w:t>1</w:t>
      <w:fldChar w:fldCharType="end"/>
    </w:r>
    <w:r>
      <w:rPr>
        <w:rFonts w:ascii="Calibri" w:hAnsi="Calibri"/>
        <w:color w:val="5C6873"/>
        <w:sz w:val="17"/>
      </w:rPr>
      <w:t xml:space="preserve"> / </w:t>
    </w:r>
    <w:r>
      <w:rPr>
        <w:rFonts w:ascii="Calibri" w:hAnsi="Calibri"/>
        <w:color w:val="5C6873"/>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Bdr>
        <w:bottom w:val="single" w:sz="6" w:space="6" w:color="D5DCE2"/>
      </w:pBdr>
    </w:pPr>
    <w:r>
      <w:rPr>
        <w:rFonts w:ascii="Calibri" w:hAnsi="Calibri"/>
        <w:b/>
        <w:color w:val="5C6873"/>
        <w:sz w:val="16"/>
      </w:rPr>
      <w:t>NEXA WORKFORCE INTELLIGENCE</w:t>
    </w:r>
    <w:r>
      <w:rPr>
        <w:rFonts w:ascii="Calibri" w:hAnsi="Calibri"/>
        <w:b/>
        <w:color w:val="5C6873"/>
        <w:sz w:val="16"/>
      </w:rPr>
      <w:tab/>
      <w:t>JULY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E29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line="240"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color w:val="12304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40" w:lineRule="auto" w:before="0"/>
      <w:contextualSpacing/>
    </w:pPr>
    <w:rPr>
      <w:rFonts w:asciiTheme="majorHAnsi" w:eastAsiaTheme="majorEastAsia" w:hAnsiTheme="majorHAnsi" w:cstheme="majorBidi" w:ascii="Calibri" w:hAnsi="Calibri"/>
      <w:b/>
      <w:color w:val="12304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line="252" w:lineRule="auto"/>
    </w:pPr>
    <w:rPr>
      <w:rFonts w:asciiTheme="majorHAnsi" w:eastAsiaTheme="majorEastAsia" w:hAnsiTheme="majorHAnsi" w:cstheme="majorBidi" w:ascii="Calibri" w:hAnsi="Calibri"/>
      <w:b w:val="0"/>
      <w:i/>
      <w:iCs/>
      <w:color w:val="416A86"/>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Great Capability Rebuild</dc:title>
  <dc:subject>Predictions and solutions for AI workforce transformation</dc:subject>
  <dc:creator>Eddie D. Coronado, SHRM-SCP</dc:creator>
  <cp:keywords>AI workforce transformation, workforce strategy, talent management, Nexa, future of work</cp:keywords>
  <dc:description>generated by python-docx</dc:description>
  <cp:lastModifiedBy/>
  <cp:revision>1</cp:revision>
  <dcterms:created xsi:type="dcterms:W3CDTF">2013-12-23T23:15:00Z</dcterms:created>
  <dcterms:modified xsi:type="dcterms:W3CDTF">2013-12-23T23:15:00Z</dcterms:modified>
  <cp:category/>
</cp:coreProperties>
</file>